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2C6CDA1B" w14:textId="77777777" w:rsidR="00E55067" w:rsidRDefault="00E55067"/>
    <w:p w14:paraId="66F814B9" w14:textId="77777777" w:rsidR="00E55067" w:rsidRDefault="00E55067"/>
    <w:p w14:paraId="5BFEF598" w14:textId="77777777" w:rsidR="00C7405C" w:rsidRPr="00C7405C" w:rsidRDefault="00C7405C" w:rsidP="00C7405C">
      <w:pPr>
        <w:jc w:val="center"/>
        <w:rPr>
          <w:rFonts w:ascii="Arial" w:hAnsi="Arial" w:cs="Arial"/>
          <w:b/>
          <w:bCs/>
        </w:rPr>
      </w:pPr>
      <w:r w:rsidRPr="00C7405C">
        <w:rPr>
          <w:rFonts w:ascii="Arial" w:hAnsi="Arial" w:cs="Arial"/>
          <w:b/>
          <w:bCs/>
        </w:rPr>
        <w:t>Pay Policy</w:t>
      </w:r>
    </w:p>
    <w:p w14:paraId="013598BA" w14:textId="77777777" w:rsidR="00C7405C" w:rsidRDefault="00C7405C" w:rsidP="00C7405C">
      <w:pPr>
        <w:jc w:val="center"/>
        <w:rPr>
          <w:rFonts w:ascii="Arial" w:hAnsi="Arial" w:cs="Arial"/>
          <w:b/>
          <w:bCs/>
          <w:sz w:val="40"/>
          <w:szCs w:val="40"/>
        </w:rPr>
      </w:pPr>
    </w:p>
    <w:p w14:paraId="5F20A1E8" w14:textId="77777777" w:rsidR="00C7405C" w:rsidRDefault="00C7405C" w:rsidP="00C7405C">
      <w:pPr>
        <w:spacing w:line="360" w:lineRule="auto"/>
        <w:rPr>
          <w:rFonts w:ascii="Arial" w:hAnsi="Arial" w:cs="Arial"/>
        </w:rPr>
      </w:pPr>
      <w:r w:rsidRPr="00A413E0">
        <w:rPr>
          <w:rFonts w:ascii="Arial" w:hAnsi="Arial" w:cs="Arial"/>
        </w:rPr>
        <w:t>This document sets out, in summary, Martlesham Preschools approach to pay.</w:t>
      </w:r>
    </w:p>
    <w:p w14:paraId="01F02B62" w14:textId="77777777" w:rsidR="00C7405C" w:rsidRDefault="00C7405C" w:rsidP="00C7405C">
      <w:pPr>
        <w:spacing w:line="360" w:lineRule="auto"/>
        <w:rPr>
          <w:rFonts w:ascii="Arial" w:hAnsi="Arial" w:cs="Arial"/>
        </w:rPr>
      </w:pPr>
      <w:r>
        <w:rPr>
          <w:rFonts w:ascii="Arial" w:hAnsi="Arial" w:cs="Arial"/>
        </w:rPr>
        <w:t xml:space="preserve">Pay reviews  </w:t>
      </w:r>
    </w:p>
    <w:p w14:paraId="75BD09DE" w14:textId="77777777" w:rsidR="00C7405C" w:rsidRDefault="00C7405C" w:rsidP="00C7405C">
      <w:pPr>
        <w:spacing w:line="360" w:lineRule="auto"/>
        <w:rPr>
          <w:rFonts w:ascii="Arial" w:hAnsi="Arial" w:cs="Arial"/>
        </w:rPr>
      </w:pPr>
      <w:r>
        <w:rPr>
          <w:rFonts w:ascii="Arial" w:hAnsi="Arial" w:cs="Arial"/>
        </w:rPr>
        <w:t>Martlesham preschool reviews the pay of its employees on an annual basis. A pay review does not, however, guarantee that any increase will be implemented. Any increases to pay are entirely at the discretion of the committee.</w:t>
      </w:r>
    </w:p>
    <w:p w14:paraId="70307D7D" w14:textId="77777777" w:rsidR="00C7405C" w:rsidRDefault="00C7405C" w:rsidP="00C7405C">
      <w:pPr>
        <w:spacing w:line="360" w:lineRule="auto"/>
        <w:rPr>
          <w:rFonts w:ascii="Arial" w:hAnsi="Arial" w:cs="Arial"/>
        </w:rPr>
      </w:pPr>
      <w:r>
        <w:rPr>
          <w:rFonts w:ascii="Arial" w:hAnsi="Arial" w:cs="Arial"/>
        </w:rPr>
        <w:t>The annual pay review process is normally based on the following:</w:t>
      </w:r>
    </w:p>
    <w:p w14:paraId="0F4B0E4A" w14:textId="77777777" w:rsidR="00C7405C" w:rsidRDefault="00C7405C" w:rsidP="00C7405C">
      <w:pPr>
        <w:pStyle w:val="ListParagraph"/>
        <w:numPr>
          <w:ilvl w:val="0"/>
          <w:numId w:val="2"/>
        </w:numPr>
        <w:spacing w:line="360" w:lineRule="auto"/>
        <w:rPr>
          <w:rFonts w:ascii="Arial" w:hAnsi="Arial" w:cs="Arial"/>
          <w:sz w:val="24"/>
          <w:szCs w:val="24"/>
        </w:rPr>
      </w:pPr>
      <w:r>
        <w:rPr>
          <w:rFonts w:ascii="Arial" w:hAnsi="Arial" w:cs="Arial"/>
          <w:sz w:val="24"/>
          <w:szCs w:val="24"/>
        </w:rPr>
        <w:t>Company performance</w:t>
      </w:r>
    </w:p>
    <w:p w14:paraId="4D6FD352" w14:textId="77777777" w:rsidR="00C7405C" w:rsidRDefault="00C7405C" w:rsidP="00C7405C">
      <w:pPr>
        <w:pStyle w:val="ListParagraph"/>
        <w:numPr>
          <w:ilvl w:val="0"/>
          <w:numId w:val="2"/>
        </w:numPr>
        <w:spacing w:line="360" w:lineRule="auto"/>
        <w:rPr>
          <w:rFonts w:ascii="Arial" w:hAnsi="Arial" w:cs="Arial"/>
          <w:sz w:val="24"/>
          <w:szCs w:val="24"/>
        </w:rPr>
      </w:pPr>
      <w:r>
        <w:rPr>
          <w:rFonts w:ascii="Arial" w:hAnsi="Arial" w:cs="Arial"/>
          <w:sz w:val="24"/>
          <w:szCs w:val="24"/>
        </w:rPr>
        <w:t>Adherence to the national living/minimum wage</w:t>
      </w:r>
    </w:p>
    <w:p w14:paraId="560AD198" w14:textId="77777777" w:rsidR="00C7405C" w:rsidRDefault="00C7405C" w:rsidP="00C7405C">
      <w:pPr>
        <w:pStyle w:val="ListParagraph"/>
        <w:numPr>
          <w:ilvl w:val="0"/>
          <w:numId w:val="2"/>
        </w:numPr>
        <w:spacing w:line="360" w:lineRule="auto"/>
        <w:rPr>
          <w:rFonts w:ascii="Arial" w:hAnsi="Arial" w:cs="Arial"/>
          <w:sz w:val="24"/>
          <w:szCs w:val="24"/>
        </w:rPr>
      </w:pPr>
      <w:r>
        <w:rPr>
          <w:rFonts w:ascii="Arial" w:hAnsi="Arial" w:cs="Arial"/>
          <w:sz w:val="24"/>
          <w:szCs w:val="24"/>
        </w:rPr>
        <w:t>Cost of living increases</w:t>
      </w:r>
    </w:p>
    <w:p w14:paraId="7817A821" w14:textId="77777777" w:rsidR="00C7405C" w:rsidRDefault="00C7405C" w:rsidP="00C7405C">
      <w:pPr>
        <w:pStyle w:val="ListParagraph"/>
        <w:numPr>
          <w:ilvl w:val="0"/>
          <w:numId w:val="2"/>
        </w:numPr>
        <w:spacing w:line="360" w:lineRule="auto"/>
        <w:rPr>
          <w:rFonts w:ascii="Arial" w:hAnsi="Arial" w:cs="Arial"/>
          <w:sz w:val="24"/>
          <w:szCs w:val="24"/>
        </w:rPr>
      </w:pPr>
      <w:r>
        <w:rPr>
          <w:rFonts w:ascii="Arial" w:hAnsi="Arial" w:cs="Arial"/>
          <w:sz w:val="24"/>
          <w:szCs w:val="24"/>
        </w:rPr>
        <w:t>Changes in the responsibilities of a particular role</w:t>
      </w:r>
    </w:p>
    <w:p w14:paraId="3E99FA1E" w14:textId="77777777" w:rsidR="00C7405C" w:rsidRPr="000F5769" w:rsidRDefault="00C7405C" w:rsidP="00C7405C">
      <w:pPr>
        <w:spacing w:line="360" w:lineRule="auto"/>
        <w:rPr>
          <w:rFonts w:ascii="Arial" w:hAnsi="Arial" w:cs="Arial"/>
          <w:b/>
          <w:bCs/>
        </w:rPr>
      </w:pPr>
      <w:r w:rsidRPr="000F5769">
        <w:rPr>
          <w:rFonts w:ascii="Arial" w:hAnsi="Arial" w:cs="Arial"/>
          <w:b/>
          <w:bCs/>
        </w:rPr>
        <w:t>Key principles</w:t>
      </w:r>
    </w:p>
    <w:p w14:paraId="341D1BC1" w14:textId="77777777" w:rsidR="00C7405C" w:rsidRDefault="00C7405C" w:rsidP="00C7405C">
      <w:pPr>
        <w:spacing w:line="360" w:lineRule="auto"/>
        <w:rPr>
          <w:rFonts w:ascii="Arial" w:hAnsi="Arial" w:cs="Arial"/>
        </w:rPr>
      </w:pPr>
      <w:r>
        <w:rPr>
          <w:rFonts w:ascii="Arial" w:hAnsi="Arial" w:cs="Arial"/>
        </w:rPr>
        <w:t>The setting’s key principles when reviewing and applying pay increases are:</w:t>
      </w:r>
    </w:p>
    <w:p w14:paraId="5BBE8032" w14:textId="77777777" w:rsidR="00C7405C" w:rsidRDefault="00C7405C" w:rsidP="00C7405C">
      <w:pPr>
        <w:pStyle w:val="ListParagraph"/>
        <w:numPr>
          <w:ilvl w:val="0"/>
          <w:numId w:val="3"/>
        </w:numPr>
        <w:spacing w:line="360" w:lineRule="auto"/>
        <w:rPr>
          <w:rFonts w:ascii="Arial" w:hAnsi="Arial" w:cs="Arial"/>
          <w:sz w:val="24"/>
          <w:szCs w:val="24"/>
        </w:rPr>
      </w:pPr>
      <w:r>
        <w:rPr>
          <w:rFonts w:ascii="Arial" w:hAnsi="Arial" w:cs="Arial"/>
          <w:sz w:val="24"/>
          <w:szCs w:val="24"/>
        </w:rPr>
        <w:t>To pay employees at a level that allows the setting to remain sustainable in a difficult and unpredictable economic climate, whilst also taking into account specific strategic requirements and key market rate factors where relevant.</w:t>
      </w:r>
    </w:p>
    <w:p w14:paraId="3648EA23" w14:textId="77777777" w:rsidR="00C7405C" w:rsidRDefault="00C7405C" w:rsidP="00C7405C">
      <w:pPr>
        <w:pStyle w:val="ListParagraph"/>
        <w:numPr>
          <w:ilvl w:val="0"/>
          <w:numId w:val="3"/>
        </w:numPr>
        <w:spacing w:line="360" w:lineRule="auto"/>
        <w:rPr>
          <w:rFonts w:ascii="Arial" w:hAnsi="Arial" w:cs="Arial"/>
          <w:sz w:val="24"/>
          <w:szCs w:val="24"/>
        </w:rPr>
      </w:pPr>
      <w:r>
        <w:rPr>
          <w:rFonts w:ascii="Arial" w:hAnsi="Arial" w:cs="Arial"/>
          <w:sz w:val="24"/>
          <w:szCs w:val="24"/>
        </w:rPr>
        <w:t>To establish a strong link between pay and performance with annual pay increases reflecting performance (behaviour and delivery) in the job.</w:t>
      </w:r>
    </w:p>
    <w:p w14:paraId="264B10BD" w14:textId="428E9607" w:rsidR="00C7405C" w:rsidRDefault="00C7405C" w:rsidP="00C7405C">
      <w:pPr>
        <w:pStyle w:val="ListParagraph"/>
        <w:numPr>
          <w:ilvl w:val="0"/>
          <w:numId w:val="3"/>
        </w:numPr>
        <w:spacing w:line="360" w:lineRule="auto"/>
        <w:rPr>
          <w:rFonts w:ascii="Arial" w:hAnsi="Arial" w:cs="Arial"/>
          <w:sz w:val="24"/>
          <w:szCs w:val="24"/>
        </w:rPr>
      </w:pPr>
      <w:r>
        <w:rPr>
          <w:rFonts w:ascii="Arial" w:hAnsi="Arial" w:cs="Arial"/>
          <w:sz w:val="24"/>
          <w:szCs w:val="24"/>
        </w:rPr>
        <w:t xml:space="preserve">To ensure that total remuneration (salary and benefits </w:t>
      </w:r>
      <w:proofErr w:type="gramStart"/>
      <w:r>
        <w:rPr>
          <w:rFonts w:ascii="Arial" w:hAnsi="Arial" w:cs="Arial"/>
          <w:sz w:val="24"/>
          <w:szCs w:val="24"/>
        </w:rPr>
        <w:t>e.g.</w:t>
      </w:r>
      <w:proofErr w:type="gramEnd"/>
      <w:r>
        <w:rPr>
          <w:rFonts w:ascii="Arial" w:hAnsi="Arial" w:cs="Arial"/>
          <w:sz w:val="24"/>
          <w:szCs w:val="24"/>
        </w:rPr>
        <w:t xml:space="preserve"> pension) are appropriately aligned with the external job market so that Martlesham preschool can recruit and retain people with the right skills.</w:t>
      </w:r>
    </w:p>
    <w:p w14:paraId="28CDFC34" w14:textId="77777777" w:rsidR="00C7405C" w:rsidRDefault="00C7405C" w:rsidP="00C7405C">
      <w:pPr>
        <w:pStyle w:val="ListParagraph"/>
        <w:numPr>
          <w:ilvl w:val="0"/>
          <w:numId w:val="3"/>
        </w:numPr>
        <w:spacing w:line="360" w:lineRule="auto"/>
        <w:rPr>
          <w:rFonts w:ascii="Arial" w:hAnsi="Arial" w:cs="Arial"/>
          <w:sz w:val="24"/>
          <w:szCs w:val="24"/>
        </w:rPr>
      </w:pPr>
      <w:r>
        <w:rPr>
          <w:rFonts w:ascii="Arial" w:hAnsi="Arial" w:cs="Arial"/>
          <w:sz w:val="24"/>
          <w:szCs w:val="24"/>
        </w:rPr>
        <w:t>To effectively consider other aspects of employee’s benefits (pay, benefits, training and development, career progression, work-life balance, etc) to attract, engage and retain the right talent.</w:t>
      </w:r>
    </w:p>
    <w:p w14:paraId="01510CB1" w14:textId="77777777" w:rsidR="00C7405C" w:rsidRDefault="00C7405C" w:rsidP="00C7405C">
      <w:pPr>
        <w:pStyle w:val="ListParagraph"/>
        <w:numPr>
          <w:ilvl w:val="0"/>
          <w:numId w:val="3"/>
        </w:numPr>
        <w:spacing w:line="360" w:lineRule="auto"/>
        <w:rPr>
          <w:rFonts w:ascii="Arial" w:hAnsi="Arial" w:cs="Arial"/>
          <w:sz w:val="24"/>
          <w:szCs w:val="24"/>
        </w:rPr>
      </w:pPr>
      <w:r>
        <w:rPr>
          <w:rFonts w:ascii="Arial" w:hAnsi="Arial" w:cs="Arial"/>
          <w:sz w:val="24"/>
          <w:szCs w:val="24"/>
        </w:rPr>
        <w:t>To gather and consider data on external market pay rates and salary percentage increases.</w:t>
      </w:r>
    </w:p>
    <w:p w14:paraId="1D60A5D0" w14:textId="77777777" w:rsidR="00C7405C" w:rsidRDefault="00C7405C" w:rsidP="00C7405C">
      <w:pPr>
        <w:pStyle w:val="ListParagraph"/>
        <w:numPr>
          <w:ilvl w:val="0"/>
          <w:numId w:val="3"/>
        </w:numPr>
        <w:spacing w:line="360" w:lineRule="auto"/>
        <w:rPr>
          <w:rFonts w:ascii="Arial" w:hAnsi="Arial" w:cs="Arial"/>
          <w:sz w:val="24"/>
          <w:szCs w:val="24"/>
        </w:rPr>
      </w:pPr>
      <w:r>
        <w:rPr>
          <w:rFonts w:ascii="Arial" w:hAnsi="Arial" w:cs="Arial"/>
          <w:sz w:val="24"/>
          <w:szCs w:val="24"/>
        </w:rPr>
        <w:t>To ensure a fair and consistent approach to remuneration of employees, both in terms of basic pay and other payments.</w:t>
      </w:r>
    </w:p>
    <w:p w14:paraId="1FC5E94B" w14:textId="77777777" w:rsidR="00C7405C" w:rsidRDefault="00C7405C" w:rsidP="00C7405C">
      <w:pPr>
        <w:pStyle w:val="ListParagraph"/>
        <w:numPr>
          <w:ilvl w:val="0"/>
          <w:numId w:val="3"/>
        </w:numPr>
        <w:spacing w:line="360" w:lineRule="auto"/>
        <w:rPr>
          <w:rFonts w:ascii="Arial" w:hAnsi="Arial" w:cs="Arial"/>
          <w:sz w:val="24"/>
          <w:szCs w:val="24"/>
        </w:rPr>
      </w:pPr>
      <w:r>
        <w:rPr>
          <w:rFonts w:ascii="Arial" w:hAnsi="Arial" w:cs="Arial"/>
          <w:sz w:val="24"/>
          <w:szCs w:val="24"/>
        </w:rPr>
        <w:lastRenderedPageBreak/>
        <w:t>To promote an equal pay agenda by ensuring that pay systems meet legislative requirements.</w:t>
      </w:r>
    </w:p>
    <w:p w14:paraId="0693A13A" w14:textId="77777777" w:rsidR="00C7405C" w:rsidRDefault="00C7405C" w:rsidP="00C7405C">
      <w:pPr>
        <w:pStyle w:val="ListParagraph"/>
        <w:numPr>
          <w:ilvl w:val="0"/>
          <w:numId w:val="3"/>
        </w:numPr>
        <w:spacing w:line="360" w:lineRule="auto"/>
        <w:rPr>
          <w:rFonts w:ascii="Arial" w:hAnsi="Arial" w:cs="Arial"/>
          <w:sz w:val="24"/>
          <w:szCs w:val="24"/>
        </w:rPr>
      </w:pPr>
      <w:r>
        <w:rPr>
          <w:rFonts w:ascii="Arial" w:hAnsi="Arial" w:cs="Arial"/>
          <w:sz w:val="24"/>
          <w:szCs w:val="24"/>
        </w:rPr>
        <w:t>To take a flexible approach and to tailor salaries to take into consideration regional differences.</w:t>
      </w:r>
    </w:p>
    <w:p w14:paraId="689CE806" w14:textId="77777777" w:rsidR="00C7405C" w:rsidRDefault="00C7405C" w:rsidP="00C7405C">
      <w:pPr>
        <w:pStyle w:val="ListParagraph"/>
        <w:numPr>
          <w:ilvl w:val="0"/>
          <w:numId w:val="3"/>
        </w:numPr>
        <w:spacing w:line="360" w:lineRule="auto"/>
        <w:rPr>
          <w:rFonts w:ascii="Arial" w:hAnsi="Arial" w:cs="Arial"/>
          <w:sz w:val="24"/>
          <w:szCs w:val="24"/>
        </w:rPr>
      </w:pPr>
      <w:r>
        <w:rPr>
          <w:rFonts w:ascii="Arial" w:hAnsi="Arial" w:cs="Arial"/>
          <w:sz w:val="24"/>
          <w:szCs w:val="24"/>
        </w:rPr>
        <w:t>To consider the impact of previous pay awards on the setting’s performance, recruitment and retention of employees.</w:t>
      </w:r>
    </w:p>
    <w:p w14:paraId="667E2E58" w14:textId="77777777" w:rsidR="00C7405C" w:rsidRDefault="00C7405C" w:rsidP="00C7405C">
      <w:pPr>
        <w:pStyle w:val="ListParagraph"/>
        <w:numPr>
          <w:ilvl w:val="0"/>
          <w:numId w:val="3"/>
        </w:numPr>
        <w:spacing w:line="360" w:lineRule="auto"/>
        <w:rPr>
          <w:rFonts w:ascii="Arial" w:hAnsi="Arial" w:cs="Arial"/>
          <w:sz w:val="24"/>
          <w:szCs w:val="24"/>
        </w:rPr>
      </w:pPr>
      <w:r>
        <w:rPr>
          <w:rFonts w:ascii="Arial" w:hAnsi="Arial" w:cs="Arial"/>
          <w:sz w:val="24"/>
          <w:szCs w:val="24"/>
        </w:rPr>
        <w:t>To assess the impact of any proposed increase prior to implementation and agreement.</w:t>
      </w:r>
    </w:p>
    <w:p w14:paraId="11C4C761" w14:textId="77777777" w:rsidR="00C7405C" w:rsidRDefault="00C7405C" w:rsidP="00C7405C">
      <w:pPr>
        <w:pStyle w:val="ListParagraph"/>
        <w:numPr>
          <w:ilvl w:val="0"/>
          <w:numId w:val="3"/>
        </w:numPr>
        <w:spacing w:line="360" w:lineRule="auto"/>
        <w:rPr>
          <w:rFonts w:ascii="Arial" w:hAnsi="Arial" w:cs="Arial"/>
          <w:sz w:val="24"/>
          <w:szCs w:val="24"/>
        </w:rPr>
      </w:pPr>
      <w:r>
        <w:rPr>
          <w:rFonts w:ascii="Arial" w:hAnsi="Arial" w:cs="Arial"/>
          <w:sz w:val="24"/>
          <w:szCs w:val="24"/>
        </w:rPr>
        <w:t>To recognise that pay freezes may be necessary to keep overall wage costs frozen at existing levels during periods of finical difficulty.</w:t>
      </w:r>
    </w:p>
    <w:p w14:paraId="45218CCF" w14:textId="77777777" w:rsidR="00C7405C" w:rsidRPr="00B37CDF" w:rsidRDefault="00C7405C" w:rsidP="00C7405C">
      <w:pPr>
        <w:spacing w:line="360" w:lineRule="auto"/>
        <w:rPr>
          <w:rFonts w:ascii="Arial" w:hAnsi="Arial" w:cs="Arial"/>
          <w:b/>
          <w:bCs/>
        </w:rPr>
      </w:pPr>
      <w:r w:rsidRPr="00B37CDF">
        <w:rPr>
          <w:rFonts w:ascii="Arial" w:hAnsi="Arial" w:cs="Arial"/>
          <w:b/>
          <w:bCs/>
        </w:rPr>
        <w:t>Pay progression</w:t>
      </w:r>
    </w:p>
    <w:p w14:paraId="3323C05C" w14:textId="77777777" w:rsidR="00C7405C" w:rsidRDefault="00C7405C" w:rsidP="00C7405C">
      <w:pPr>
        <w:spacing w:line="360" w:lineRule="auto"/>
        <w:rPr>
          <w:rFonts w:ascii="Arial" w:hAnsi="Arial" w:cs="Arial"/>
        </w:rPr>
      </w:pPr>
      <w:r>
        <w:rPr>
          <w:rFonts w:ascii="Arial" w:hAnsi="Arial" w:cs="Arial"/>
        </w:rPr>
        <w:t>Employees will be placed on a pay scale according to their levels of responsibility and job role. Starting as a trainee/student up to management roles.</w:t>
      </w:r>
    </w:p>
    <w:p w14:paraId="16551EAD" w14:textId="77777777" w:rsidR="00936B0E" w:rsidRDefault="00936B0E" w:rsidP="00C7405C">
      <w:pPr>
        <w:spacing w:line="360" w:lineRule="auto"/>
        <w:rPr>
          <w:rFonts w:ascii="Arial" w:hAnsi="Arial" w:cs="Arial"/>
        </w:rPr>
      </w:pPr>
    </w:p>
    <w:p w14:paraId="7D97571E" w14:textId="267FBC3F" w:rsidR="00C7405C" w:rsidRDefault="00C7405C" w:rsidP="00C7405C">
      <w:pPr>
        <w:spacing w:line="360" w:lineRule="auto"/>
        <w:rPr>
          <w:rFonts w:ascii="Arial" w:hAnsi="Arial" w:cs="Arial"/>
        </w:rPr>
      </w:pPr>
      <w:r>
        <w:rPr>
          <w:rFonts w:ascii="Arial" w:hAnsi="Arial" w:cs="Arial"/>
        </w:rPr>
        <w:t>Acting up allowances</w:t>
      </w:r>
      <w:r w:rsidR="00936B0E">
        <w:rPr>
          <w:rFonts w:ascii="Arial" w:hAnsi="Arial" w:cs="Arial"/>
        </w:rPr>
        <w:t>:</w:t>
      </w:r>
    </w:p>
    <w:p w14:paraId="31F627F7" w14:textId="77777777" w:rsidR="00C7405C" w:rsidRDefault="00C7405C" w:rsidP="00C7405C">
      <w:pPr>
        <w:spacing w:line="360" w:lineRule="auto"/>
        <w:rPr>
          <w:rFonts w:ascii="Arial" w:hAnsi="Arial" w:cs="Arial"/>
        </w:rPr>
      </w:pPr>
      <w:r>
        <w:rPr>
          <w:rFonts w:ascii="Arial" w:hAnsi="Arial" w:cs="Arial"/>
        </w:rPr>
        <w:t>Where an employee covers the full range of duties on a higher role, for a period of 4weeks or more, the setting will pay that employee acting up allowance, so that this temporary pay is a rate of the higher post.</w:t>
      </w:r>
    </w:p>
    <w:p w14:paraId="4B67F131" w14:textId="77777777" w:rsidR="00C7405C" w:rsidRDefault="00C7405C" w:rsidP="00C7405C">
      <w:pPr>
        <w:spacing w:line="360" w:lineRule="auto"/>
        <w:rPr>
          <w:rFonts w:ascii="Arial" w:hAnsi="Arial" w:cs="Arial"/>
        </w:rPr>
      </w:pPr>
      <w:r>
        <w:rPr>
          <w:rFonts w:ascii="Arial" w:hAnsi="Arial" w:cs="Arial"/>
        </w:rPr>
        <w:t>Where a member of staff is covering some, but not all of the duties of a post with greater responsibility, the setting will consider an honorarium payment. This will be calculated on the difference in salary between the subtractive and higher pay, taking account of the proportion of work undertaken in the post on the higher pay.</w:t>
      </w:r>
    </w:p>
    <w:p w14:paraId="6B262014" w14:textId="77777777" w:rsidR="00BE01DF" w:rsidRDefault="00BE01DF" w:rsidP="00C7405C">
      <w:pPr>
        <w:spacing w:line="360" w:lineRule="auto"/>
        <w:rPr>
          <w:rFonts w:ascii="Arial" w:hAnsi="Arial" w:cs="Arial"/>
        </w:rPr>
      </w:pPr>
    </w:p>
    <w:p w14:paraId="6D9CC30F" w14:textId="04EF4B3D" w:rsidR="00C7405C" w:rsidRDefault="00C7405C" w:rsidP="00C7405C">
      <w:pPr>
        <w:spacing w:line="360" w:lineRule="auto"/>
        <w:rPr>
          <w:rFonts w:ascii="Arial" w:hAnsi="Arial" w:cs="Arial"/>
        </w:rPr>
      </w:pPr>
      <w:r>
        <w:rPr>
          <w:rFonts w:ascii="Arial" w:hAnsi="Arial" w:cs="Arial"/>
        </w:rPr>
        <w:t>The setting currently provides the following benefits:</w:t>
      </w:r>
    </w:p>
    <w:p w14:paraId="14583D33" w14:textId="575D1910" w:rsidR="00E044CC" w:rsidRDefault="00E044CC" w:rsidP="00E044CC">
      <w:pPr>
        <w:pStyle w:val="ListParagraph"/>
        <w:numPr>
          <w:ilvl w:val="0"/>
          <w:numId w:val="4"/>
        </w:numPr>
        <w:spacing w:line="360" w:lineRule="auto"/>
        <w:rPr>
          <w:rFonts w:ascii="Arial" w:hAnsi="Arial" w:cs="Arial"/>
        </w:rPr>
      </w:pPr>
      <w:r>
        <w:rPr>
          <w:rFonts w:ascii="Arial" w:hAnsi="Arial" w:cs="Arial"/>
        </w:rPr>
        <w:t xml:space="preserve">A pension </w:t>
      </w:r>
      <w:proofErr w:type="gramStart"/>
      <w:r>
        <w:rPr>
          <w:rFonts w:ascii="Arial" w:hAnsi="Arial" w:cs="Arial"/>
        </w:rPr>
        <w:t>scheme</w:t>
      </w:r>
      <w:proofErr w:type="gramEnd"/>
    </w:p>
    <w:p w14:paraId="1C40A09A" w14:textId="08D51437" w:rsidR="00614E37" w:rsidRDefault="00E07474" w:rsidP="00E044CC">
      <w:pPr>
        <w:pStyle w:val="ListParagraph"/>
        <w:numPr>
          <w:ilvl w:val="0"/>
          <w:numId w:val="4"/>
        </w:numPr>
        <w:spacing w:line="360" w:lineRule="auto"/>
        <w:rPr>
          <w:rFonts w:ascii="Arial" w:hAnsi="Arial" w:cs="Arial"/>
        </w:rPr>
      </w:pPr>
      <w:r>
        <w:rPr>
          <w:rFonts w:ascii="Arial" w:hAnsi="Arial" w:cs="Arial"/>
        </w:rPr>
        <w:t>Uniform</w:t>
      </w:r>
    </w:p>
    <w:p w14:paraId="23A56FBA" w14:textId="347D48D4" w:rsidR="00837D2B" w:rsidRPr="00E044CC" w:rsidRDefault="00837D2B" w:rsidP="00837D2B">
      <w:pPr>
        <w:pStyle w:val="ListParagraph"/>
        <w:spacing w:line="360" w:lineRule="auto"/>
        <w:rPr>
          <w:rFonts w:ascii="Arial" w:hAnsi="Arial" w:cs="Arial"/>
        </w:rPr>
      </w:pPr>
    </w:p>
    <w:p w14:paraId="0CDE9C94" w14:textId="77777777" w:rsidR="00C7405C" w:rsidRDefault="00C7405C" w:rsidP="00C7405C">
      <w:pPr>
        <w:rPr>
          <w:rFonts w:ascii="Arial" w:hAnsi="Arial" w:cs="Arial"/>
          <w:b/>
          <w:bCs/>
        </w:rPr>
      </w:pPr>
    </w:p>
    <w:p w14:paraId="3A1C0FED" w14:textId="2128032E" w:rsidR="00BE01DF" w:rsidRPr="00BE01DF" w:rsidRDefault="00BE01DF" w:rsidP="00BE01DF">
      <w:pPr>
        <w:jc w:val="center"/>
        <w:rPr>
          <w:rFonts w:ascii="Arial" w:eastAsia="Arial" w:hAnsi="Arial" w:cs="Arial"/>
          <w:i/>
          <w:iCs/>
          <w:sz w:val="21"/>
          <w:szCs w:val="21"/>
        </w:rPr>
      </w:pPr>
      <w:r>
        <w:rPr>
          <w:rFonts w:ascii="Arial" w:hAnsi="Arial" w:cs="Arial"/>
          <w:i/>
          <w:iCs/>
        </w:rPr>
        <w:t>This policy is reviewed annually by Martlesham Preschool Committee</w:t>
      </w:r>
    </w:p>
    <w:p w14:paraId="532988BF" w14:textId="77777777" w:rsidR="00C7405C" w:rsidRPr="00621F51" w:rsidRDefault="00C7405C" w:rsidP="00C7405C">
      <w:pPr>
        <w:rPr>
          <w:rFonts w:ascii="Arial" w:hAnsi="Arial" w:cs="Arial"/>
        </w:rPr>
      </w:pPr>
    </w:p>
    <w:p w14:paraId="7B6FDCF4" w14:textId="77777777" w:rsidR="00C7405C" w:rsidRDefault="00C7405C" w:rsidP="00C7405C">
      <w:pPr>
        <w:jc w:val="right"/>
        <w:rPr>
          <w:b/>
          <w:bCs/>
        </w:rPr>
      </w:pPr>
    </w:p>
    <w:p w14:paraId="0D7C671E" w14:textId="77777777" w:rsidR="00C7405C" w:rsidRDefault="00C7405C" w:rsidP="00C7405C">
      <w:pPr>
        <w:jc w:val="right"/>
        <w:rPr>
          <w:b/>
          <w:bCs/>
        </w:rPr>
      </w:pPr>
    </w:p>
    <w:p w14:paraId="70786708" w14:textId="53D2E097" w:rsidR="00341F2C" w:rsidRPr="006E3C38" w:rsidRDefault="00341F2C" w:rsidP="00C7405C">
      <w:pPr>
        <w:spacing w:before="120" w:line="288" w:lineRule="auto"/>
        <w:jc w:val="center"/>
        <w:rPr>
          <w:rFonts w:ascii="Arial" w:hAnsi="Arial" w:cs="Arial"/>
          <w:b/>
        </w:rPr>
      </w:pPr>
    </w:p>
    <w:sectPr w:rsidR="00341F2C" w:rsidRPr="006E3C38" w:rsidSect="00CE01F2">
      <w:headerReference w:type="even" r:id="rId7"/>
      <w:headerReference w:type="default" r:id="rId8"/>
      <w:footerReference w:type="even" r:id="rId9"/>
      <w:footerReference w:type="default" r:id="rId10"/>
      <w:headerReference w:type="first" r:id="rId11"/>
      <w:footerReference w:type="first" r:id="rId12"/>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96793" w14:textId="77777777" w:rsidR="00063C80" w:rsidRDefault="00063C80" w:rsidP="00E55067">
      <w:r>
        <w:separator/>
      </w:r>
    </w:p>
  </w:endnote>
  <w:endnote w:type="continuationSeparator" w:id="0">
    <w:p w14:paraId="32DCBA79" w14:textId="77777777" w:rsidR="00063C80" w:rsidRDefault="00063C80"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B44D" w14:textId="77777777" w:rsidR="00D6621B" w:rsidRDefault="00D66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F1313" w14:textId="77777777" w:rsidR="00063C80" w:rsidRDefault="00063C80" w:rsidP="00E55067">
      <w:r>
        <w:separator/>
      </w:r>
    </w:p>
  </w:footnote>
  <w:footnote w:type="continuationSeparator" w:id="0">
    <w:p w14:paraId="733DCD03" w14:textId="77777777" w:rsidR="00063C80" w:rsidRDefault="00063C80"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80AD" w14:textId="77777777" w:rsidR="00D6621B" w:rsidRDefault="00D66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7F32EDDE" w:rsidR="00EE13AD" w:rsidRDefault="00EE13AD">
    <w:pPr>
      <w:pStyle w:val="Header"/>
    </w:pPr>
    <w:r>
      <w:t xml:space="preserve">Martlesham Preschool – </w:t>
    </w:r>
    <w:r w:rsidR="00975DD4">
      <w:t>Pay Policy</w:t>
    </w:r>
  </w:p>
  <w:p w14:paraId="2A0D46F3" w14:textId="77777777" w:rsidR="00EE13AD" w:rsidRDefault="00EE13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22375966"/>
    <w:multiLevelType w:val="hybridMultilevel"/>
    <w:tmpl w:val="C2CCC4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D7D36B2"/>
    <w:multiLevelType w:val="hybridMultilevel"/>
    <w:tmpl w:val="1F1E2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45762D"/>
    <w:multiLevelType w:val="hybridMultilevel"/>
    <w:tmpl w:val="CEA0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8529792">
    <w:abstractNumId w:val="0"/>
  </w:num>
  <w:num w:numId="2" w16cid:durableId="286468692">
    <w:abstractNumId w:val="1"/>
  </w:num>
  <w:num w:numId="3" w16cid:durableId="113598892">
    <w:abstractNumId w:val="2"/>
  </w:num>
  <w:num w:numId="4" w16cid:durableId="12801399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273E0"/>
    <w:rsid w:val="000412B7"/>
    <w:rsid w:val="000444E5"/>
    <w:rsid w:val="000568DF"/>
    <w:rsid w:val="00063AE9"/>
    <w:rsid w:val="00063C80"/>
    <w:rsid w:val="00064C74"/>
    <w:rsid w:val="00074725"/>
    <w:rsid w:val="00084979"/>
    <w:rsid w:val="000A0720"/>
    <w:rsid w:val="000C52EC"/>
    <w:rsid w:val="000E792F"/>
    <w:rsid w:val="00105658"/>
    <w:rsid w:val="00136381"/>
    <w:rsid w:val="00146EDD"/>
    <w:rsid w:val="001471F5"/>
    <w:rsid w:val="0019352D"/>
    <w:rsid w:val="001B05BB"/>
    <w:rsid w:val="001C3490"/>
    <w:rsid w:val="001C6FAB"/>
    <w:rsid w:val="001E132C"/>
    <w:rsid w:val="001E2136"/>
    <w:rsid w:val="001F34AF"/>
    <w:rsid w:val="001F7CF3"/>
    <w:rsid w:val="00220FC2"/>
    <w:rsid w:val="002221D6"/>
    <w:rsid w:val="002300CD"/>
    <w:rsid w:val="00243AC9"/>
    <w:rsid w:val="00245DFF"/>
    <w:rsid w:val="00253EB8"/>
    <w:rsid w:val="00256709"/>
    <w:rsid w:val="0026147F"/>
    <w:rsid w:val="00282D17"/>
    <w:rsid w:val="002A782C"/>
    <w:rsid w:val="002C2D83"/>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14E37"/>
    <w:rsid w:val="0063200E"/>
    <w:rsid w:val="00646013"/>
    <w:rsid w:val="00646A3F"/>
    <w:rsid w:val="00684AE1"/>
    <w:rsid w:val="00686207"/>
    <w:rsid w:val="0069565E"/>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C101C"/>
    <w:rsid w:val="007D50A4"/>
    <w:rsid w:val="007F54BE"/>
    <w:rsid w:val="007F73D4"/>
    <w:rsid w:val="008026BC"/>
    <w:rsid w:val="00807BE0"/>
    <w:rsid w:val="00831D24"/>
    <w:rsid w:val="00837D2B"/>
    <w:rsid w:val="00843108"/>
    <w:rsid w:val="00853D2D"/>
    <w:rsid w:val="00874982"/>
    <w:rsid w:val="008851FC"/>
    <w:rsid w:val="008A1ED8"/>
    <w:rsid w:val="008E2B90"/>
    <w:rsid w:val="008E6954"/>
    <w:rsid w:val="00905824"/>
    <w:rsid w:val="009112D6"/>
    <w:rsid w:val="00911DEA"/>
    <w:rsid w:val="00914A29"/>
    <w:rsid w:val="00917B3E"/>
    <w:rsid w:val="00936B0E"/>
    <w:rsid w:val="0096149E"/>
    <w:rsid w:val="0097052D"/>
    <w:rsid w:val="00970913"/>
    <w:rsid w:val="00975DD4"/>
    <w:rsid w:val="0097773B"/>
    <w:rsid w:val="009B2CA1"/>
    <w:rsid w:val="009D431F"/>
    <w:rsid w:val="009F2769"/>
    <w:rsid w:val="00A00B71"/>
    <w:rsid w:val="00A114FF"/>
    <w:rsid w:val="00A129BD"/>
    <w:rsid w:val="00A23C52"/>
    <w:rsid w:val="00A23FF8"/>
    <w:rsid w:val="00A27411"/>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D4820"/>
    <w:rsid w:val="00BD67C3"/>
    <w:rsid w:val="00BE01DF"/>
    <w:rsid w:val="00BE1362"/>
    <w:rsid w:val="00BF2607"/>
    <w:rsid w:val="00BF7B1B"/>
    <w:rsid w:val="00C039FC"/>
    <w:rsid w:val="00C15E5D"/>
    <w:rsid w:val="00C23CA9"/>
    <w:rsid w:val="00C27C97"/>
    <w:rsid w:val="00C30BE4"/>
    <w:rsid w:val="00C32419"/>
    <w:rsid w:val="00C35559"/>
    <w:rsid w:val="00C36037"/>
    <w:rsid w:val="00C365E3"/>
    <w:rsid w:val="00C41BAF"/>
    <w:rsid w:val="00C735AD"/>
    <w:rsid w:val="00C7405C"/>
    <w:rsid w:val="00C81FFD"/>
    <w:rsid w:val="00C9632D"/>
    <w:rsid w:val="00CA227C"/>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A6B08"/>
    <w:rsid w:val="00DC3FE1"/>
    <w:rsid w:val="00DD0442"/>
    <w:rsid w:val="00DD5A5D"/>
    <w:rsid w:val="00DE3195"/>
    <w:rsid w:val="00DE6EA4"/>
    <w:rsid w:val="00E044CC"/>
    <w:rsid w:val="00E04595"/>
    <w:rsid w:val="00E07474"/>
    <w:rsid w:val="00E21A55"/>
    <w:rsid w:val="00E2387D"/>
    <w:rsid w:val="00E260BC"/>
    <w:rsid w:val="00E32292"/>
    <w:rsid w:val="00E54AD2"/>
    <w:rsid w:val="00E55067"/>
    <w:rsid w:val="00E82509"/>
    <w:rsid w:val="00EA3265"/>
    <w:rsid w:val="00EA4A11"/>
    <w:rsid w:val="00EC2D4F"/>
    <w:rsid w:val="00ED0EE7"/>
    <w:rsid w:val="00ED3149"/>
    <w:rsid w:val="00EE13AD"/>
    <w:rsid w:val="00EE68D6"/>
    <w:rsid w:val="00EE69DC"/>
    <w:rsid w:val="00EE725F"/>
    <w:rsid w:val="00F25DA8"/>
    <w:rsid w:val="00F348F8"/>
    <w:rsid w:val="00F437E6"/>
    <w:rsid w:val="00F45E3C"/>
    <w:rsid w:val="00F54D8B"/>
    <w:rsid w:val="00F67202"/>
    <w:rsid w:val="00F73C6D"/>
    <w:rsid w:val="00F743FF"/>
    <w:rsid w:val="00F7548B"/>
    <w:rsid w:val="00F953CC"/>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 w:type="paragraph" w:styleId="ListParagraph">
    <w:name w:val="List Paragraph"/>
    <w:basedOn w:val="Normal"/>
    <w:uiPriority w:val="34"/>
    <w:qFormat/>
    <w:rsid w:val="00C7405C"/>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7</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10</cp:revision>
  <cp:lastPrinted>2023-09-22T12:53:00Z</cp:lastPrinted>
  <dcterms:created xsi:type="dcterms:W3CDTF">2023-09-27T09:59:00Z</dcterms:created>
  <dcterms:modified xsi:type="dcterms:W3CDTF">2023-09-27T12:29:00Z</dcterms:modified>
</cp:coreProperties>
</file>